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75" w:rsidRPr="00607675" w:rsidRDefault="00B93622" w:rsidP="00607675">
      <w:pPr>
        <w:shd w:val="clear" w:color="auto" w:fill="FFFFFF"/>
        <w:spacing w:after="0" w:line="240" w:lineRule="auto"/>
        <w:jc w:val="center"/>
        <w:rPr>
          <w:color w:val="FF0000"/>
        </w:rPr>
      </w:pPr>
      <w:r w:rsidRPr="00607675">
        <w:rPr>
          <w:color w:val="FF0000"/>
        </w:rPr>
        <w:t>Jak se stanovuje platba stočného</w:t>
      </w:r>
    </w:p>
    <w:p w:rsidR="00B93622" w:rsidRDefault="00B93622" w:rsidP="009A5B39">
      <w:pPr>
        <w:shd w:val="clear" w:color="auto" w:fill="FFFFFF"/>
        <w:spacing w:after="0" w:line="240" w:lineRule="auto"/>
        <w:jc w:val="both"/>
        <w:rPr>
          <w:rFonts w:ascii="Arial" w:eastAsia="Times New Roman" w:hAnsi="Arial" w:cs="Arial"/>
          <w:color w:val="000000"/>
          <w:sz w:val="20"/>
          <w:szCs w:val="20"/>
          <w:lang w:eastAsia="cs-CZ"/>
        </w:rPr>
      </w:pPr>
      <w:r>
        <w:t xml:space="preserve">Majitel rodinného domu, který má zdroj pitné vody do své nemovitosti pouze ze studny a potrubí není osazeno cejchovaným vodoměrem, je množství stočného počítáno podle směrného čísla roční spotřeby vody v souladu s přílohou č. 12 k Vyhlášce </w:t>
      </w:r>
      <w:proofErr w:type="spellStart"/>
      <w:r>
        <w:t>Mze</w:t>
      </w:r>
      <w:proofErr w:type="spellEnd"/>
      <w:r>
        <w:t xml:space="preserve"> ČR č. 120/2011 Sb., kterou provádí zákon č. 274/2001 Sb., o vodovodech a kanalizacích pro veřejnou spotřebu. Citace z vyhlášky: </w:t>
      </w:r>
      <w:proofErr w:type="gramStart"/>
      <w:r>
        <w:t>„ na</w:t>
      </w:r>
      <w:proofErr w:type="gramEnd"/>
      <w:r>
        <w:t xml:space="preserve"> jednoho obyvatele bytu s tekoucí teplou vodou (teplá voda na kohoutku) 35 m3 /rok“. Hodnota je součtem spotřeby studené a teplé vody. Teplou vodou na kohoutku je teplá voda vytékající z výtoku ovládaného uzávěrem přímo do dřezu, umyvadla, vany, sprchy apod. Není rozhodující, zda je voda ohřívána elektrickým zásobníkem, průtokovým ohřevem, plynovým kotlem apod. </w:t>
      </w:r>
    </w:p>
    <w:p w:rsidR="00B93622" w:rsidRDefault="00B93622" w:rsidP="009A5B39">
      <w:pPr>
        <w:shd w:val="clear" w:color="auto" w:fill="FFFFFF"/>
        <w:spacing w:after="0" w:line="240" w:lineRule="auto"/>
        <w:jc w:val="both"/>
        <w:rPr>
          <w:rFonts w:ascii="Arial" w:eastAsia="Times New Roman" w:hAnsi="Arial" w:cs="Arial"/>
          <w:color w:val="000000"/>
          <w:sz w:val="20"/>
          <w:szCs w:val="20"/>
          <w:lang w:eastAsia="cs-CZ"/>
        </w:rPr>
      </w:pPr>
    </w:p>
    <w:p w:rsidR="00B93622" w:rsidRDefault="00B93622" w:rsidP="009A5B39">
      <w:pPr>
        <w:shd w:val="clear" w:color="auto" w:fill="FFFFFF"/>
        <w:spacing w:after="0" w:line="240" w:lineRule="auto"/>
        <w:jc w:val="both"/>
        <w:rPr>
          <w:rFonts w:ascii="Arial" w:eastAsia="Times New Roman" w:hAnsi="Arial" w:cs="Arial"/>
          <w:color w:val="000000"/>
          <w:sz w:val="20"/>
          <w:szCs w:val="20"/>
          <w:lang w:eastAsia="cs-CZ"/>
        </w:rPr>
      </w:pPr>
    </w:p>
    <w:p w:rsidR="00B93622" w:rsidRDefault="00B93622" w:rsidP="009A5B39">
      <w:pPr>
        <w:shd w:val="clear" w:color="auto" w:fill="FFFFFF"/>
        <w:spacing w:after="0" w:line="240" w:lineRule="auto"/>
        <w:jc w:val="both"/>
        <w:rPr>
          <w:rFonts w:ascii="Arial" w:eastAsia="Times New Roman" w:hAnsi="Arial" w:cs="Arial"/>
          <w:color w:val="000000"/>
          <w:sz w:val="20"/>
          <w:szCs w:val="20"/>
          <w:lang w:eastAsia="cs-CZ"/>
        </w:rPr>
      </w:pPr>
      <w:bookmarkStart w:id="0" w:name="_GoBack"/>
      <w:bookmarkEnd w:id="0"/>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„Příloha č. 12 k vyhlášce č. 428/2001 Sb.</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SMĚRNÁ ČÍSLA ROČNÍ POTŘEBY VODY</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I. BYTOVÝ FOND</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byty</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57"/>
        <w:gridCol w:w="6549"/>
        <w:gridCol w:w="2250"/>
      </w:tblGrid>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obyvatele bytu s tekoucí studenou vodou mimo byt za rok</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15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obyvatele bytu bez tekoucí teplé vody (teplé vody na kohoutku) za rok</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25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obyvatele bytu s tekoucí teplou vodou (teplá voda na kohoutku) za rok</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35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Hodnota uvedená v položce č. 3 je součtem spotřeby studené a teplé vody.</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Teplou vodou na kohoutku je teplá voda vytékající z výtoku ovládaného uzávěrem přímo do dřezu, umyvadla, vany, sprchy apod. Není rozhodující, zda je voda ohřívána elektrickým zásobníkem, průtokovým ohřevem, plynovým kotlem pro byt nebo dům, nebo je připravována centrálně pro celou obec nebo město; tedy ze zdroje mimo fakturační vodoměr studené vody v domě. V případech dodávky teplé vody ze zdroje mimo fakturační vodoměr studené vody se při výpočtu použijí hodnoty podle bytu bez tekoucí teplé vody.</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rodinné domy</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na jednoho obyvatele bytu v rodinném domu s (max. 3 byty - 3 rodiny) se připočítává 1 m</w:t>
      </w:r>
      <w:r w:rsidRPr="009A5B39">
        <w:rPr>
          <w:rFonts w:ascii="Arial" w:eastAsia="Times New Roman" w:hAnsi="Arial" w:cs="Arial"/>
          <w:color w:val="000000"/>
          <w:sz w:val="20"/>
          <w:szCs w:val="20"/>
          <w:vertAlign w:val="superscript"/>
          <w:lang w:eastAsia="cs-CZ"/>
        </w:rPr>
        <w:t>3</w:t>
      </w:r>
      <w:r w:rsidRPr="009A5B39">
        <w:rPr>
          <w:rFonts w:ascii="Arial" w:eastAsia="Times New Roman" w:hAnsi="Arial" w:cs="Arial"/>
          <w:color w:val="000000"/>
          <w:sz w:val="20"/>
          <w:szCs w:val="20"/>
          <w:lang w:eastAsia="cs-CZ"/>
        </w:rPr>
        <w:t> na spotřebu spojenou s očistou okolí rodinného domu i s očistou osob při aktivitách v zahradě apod. Kropení zahrady a provoz bazénů je samostatnou položkou a nespadá pod bytový fond.</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rekreační chaty (chalupy)</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na jednoho obyvatele rekreační chaty (chalupy) se spotřeba vypočte jako u položek č. 1, 2 a 3 s přihlédnutím k době, po kterou je chata během roku využívána. Tento výpočet se v případě, že odběr pitné vody není měřen vodoměrem, uvede do smlouvy podle § 8 odst. 6 zákona.</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snížení množství m</w:t>
      </w:r>
      <w:r w:rsidRPr="009A5B39">
        <w:rPr>
          <w:rFonts w:ascii="Arial" w:eastAsia="Times New Roman" w:hAnsi="Arial" w:cs="Arial"/>
          <w:color w:val="000000"/>
          <w:sz w:val="20"/>
          <w:szCs w:val="20"/>
          <w:vertAlign w:val="superscript"/>
          <w:lang w:eastAsia="cs-CZ"/>
        </w:rPr>
        <w:t>3</w:t>
      </w:r>
      <w:r w:rsidRPr="009A5B39">
        <w:rPr>
          <w:rFonts w:ascii="Arial" w:eastAsia="Times New Roman" w:hAnsi="Arial" w:cs="Arial"/>
          <w:color w:val="000000"/>
          <w:sz w:val="20"/>
          <w:szCs w:val="20"/>
          <w:lang w:eastAsia="cs-CZ"/>
        </w:rPr>
        <w:t> odpadní vody pro stočné</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nárok na snížení množství odpadní vody pro stočné podle § 19 odst. 7 zákona prokazuje odběratel technickým propočtem daným rozdílem odebrané, vodoměrem změřené pitné vody a množstvím stanoveného podle položek č. 1 a 2 v odběru pro bytový fond (je-li důvodem kropení) nebo množstvím stanoveným odborným výpočtem (je-li důvodem výroba balených nápojů nebo jídel apod.). Pokud je snížení množství pro stočné přiznáno s podmínkou měření vody pro kropení (zvláštním vodoměrem), nebo v případě vlastního zdroje pitné vody (studna apod.) měření (zvláštním vodoměrem) množství pitné vody odebíraného pro bytový fond, je takto stanovované množství pro stočné přiznáno na celou dobu kdy měření probíhá, tedy i v případě, že snížené množství v některém z roků nedosáhne 30 m</w:t>
      </w:r>
      <w:r w:rsidRPr="009A5B39">
        <w:rPr>
          <w:rFonts w:ascii="Arial" w:eastAsia="Times New Roman" w:hAnsi="Arial" w:cs="Arial"/>
          <w:color w:val="000000"/>
          <w:sz w:val="20"/>
          <w:szCs w:val="20"/>
          <w:vertAlign w:val="superscript"/>
          <w:lang w:eastAsia="cs-CZ"/>
        </w:rPr>
        <w:t>3 </w:t>
      </w:r>
      <w:r w:rsidRPr="009A5B39">
        <w:rPr>
          <w:rFonts w:ascii="Arial" w:eastAsia="Times New Roman" w:hAnsi="Arial" w:cs="Arial"/>
          <w:color w:val="000000"/>
          <w:sz w:val="20"/>
          <w:szCs w:val="20"/>
          <w:lang w:eastAsia="cs-CZ"/>
        </w:rPr>
        <w:t>za rok.</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II. VEŘEJNÉ BUDOVY, ŠKOLY</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 xml:space="preserve">a)  je uvedena základní potřeba </w:t>
      </w:r>
      <w:proofErr w:type="gramStart"/>
      <w:r w:rsidRPr="009A5B39">
        <w:rPr>
          <w:rFonts w:ascii="Arial" w:eastAsia="Times New Roman" w:hAnsi="Arial" w:cs="Arial"/>
          <w:color w:val="000000"/>
          <w:sz w:val="20"/>
          <w:szCs w:val="20"/>
          <w:lang w:eastAsia="cs-CZ"/>
        </w:rPr>
        <w:t>vody - ostatní</w:t>
      </w:r>
      <w:proofErr w:type="gramEnd"/>
      <w:r w:rsidRPr="009A5B39">
        <w:rPr>
          <w:rFonts w:ascii="Arial" w:eastAsia="Times New Roman" w:hAnsi="Arial" w:cs="Arial"/>
          <w:color w:val="000000"/>
          <w:sz w:val="20"/>
          <w:szCs w:val="20"/>
          <w:lang w:eastAsia="cs-CZ"/>
        </w:rPr>
        <w:t xml:space="preserve"> potřeba vody (zahrada, mytí aut apod.) se připočítá podle dalšího vybavení budov, které je uvedené samostatně se směrnými čísly;</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b)  v případě stravování pro konkrétní situaci se připočítají směrná čísla uvedená podle položek č. 18, 19 a 20;</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c)  ve veřejných budovách, kde jsou byty, se připočte roční směrné číslo podle vybavení bytu.</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kancelářské budovy</w:t>
      </w:r>
      <w:r w:rsidRPr="009A5B39">
        <w:rPr>
          <w:rFonts w:ascii="Arial" w:eastAsia="Times New Roman" w:hAnsi="Arial" w:cs="Arial"/>
          <w:color w:val="000000"/>
          <w:sz w:val="20"/>
          <w:szCs w:val="20"/>
          <w:lang w:eastAsia="cs-CZ"/>
        </w:rPr>
        <w:br/>
        <w:t>(bez stravování)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57"/>
        <w:gridCol w:w="5293"/>
        <w:gridCol w:w="2250"/>
      </w:tblGrid>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color w:val="000000"/>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jednu osobu při průměru 250 pracovních dnů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8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14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 s možností sprchování</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18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školy</w:t>
      </w:r>
      <w:r w:rsidRPr="009A5B39">
        <w:rPr>
          <w:rFonts w:ascii="Arial" w:eastAsia="Times New Roman" w:hAnsi="Arial" w:cs="Arial"/>
          <w:color w:val="000000"/>
          <w:sz w:val="20"/>
          <w:szCs w:val="20"/>
          <w:lang w:eastAsia="cs-CZ"/>
        </w:rPr>
        <w:br/>
        <w:t>(bez stravování)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95"/>
        <w:gridCol w:w="3487"/>
        <w:gridCol w:w="3457"/>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jednu osobu (žáka, učitele, pracovníka) při průměru 200 pracovních dnů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3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a tekoucí teplá voda</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5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mateřské školy a jesle s celodenním provozem</w:t>
      </w:r>
      <w:r w:rsidRPr="009A5B39">
        <w:rPr>
          <w:rFonts w:ascii="Arial" w:eastAsia="Times New Roman" w:hAnsi="Arial" w:cs="Arial"/>
          <w:color w:val="000000"/>
          <w:sz w:val="20"/>
          <w:szCs w:val="20"/>
          <w:lang w:eastAsia="cs-CZ"/>
        </w:rPr>
        <w:br/>
        <w:t>(bez stravování)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5293"/>
        <w:gridCol w:w="2250"/>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jednu osobu (učitele, pracovníka, dítě) při průměru 200 pracovních dnů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8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 s možností sprchování</w:t>
            </w:r>
          </w:p>
        </w:tc>
        <w:tc>
          <w:tcPr>
            <w:tcW w:w="225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16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III.  HOTELY, UBYTOVNY, INTERNÁTY</w:t>
      </w:r>
      <w:r w:rsidRPr="009A5B39">
        <w:rPr>
          <w:rFonts w:ascii="Arial" w:eastAsia="Times New Roman" w:hAnsi="Arial" w:cs="Arial"/>
          <w:color w:val="000000"/>
          <w:sz w:val="20"/>
          <w:szCs w:val="20"/>
          <w:lang w:eastAsia="cs-CZ"/>
        </w:rPr>
        <w:br/>
        <w:t>(směrná čísla pouze pro ubytování)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5272"/>
        <w:gridCol w:w="607"/>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 lůžko za rok</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hotely a penziony</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většina pokojů má WC a koupelnu s tekoucí teplou vodou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45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většina pokojů je bez koupelny (sprch), WC na chodbě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23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restaurace v hotelu, penzionu podle položek č. 18, 19 a 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pro doplňující vybavení hotelů se přičítá:</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Times New Roman" w:eastAsia="Times New Roman" w:hAnsi="Times New Roman" w:cs="Times New Roman"/>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denní připouštění bazénu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10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 xml:space="preserve">sauna, </w:t>
            </w:r>
            <w:proofErr w:type="spellStart"/>
            <w:r w:rsidRPr="009A5B39">
              <w:rPr>
                <w:rFonts w:ascii="Arial" w:eastAsia="Times New Roman" w:hAnsi="Arial" w:cs="Arial"/>
                <w:sz w:val="20"/>
                <w:szCs w:val="20"/>
                <w:lang w:eastAsia="cs-CZ"/>
              </w:rPr>
              <w:t>welnes</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 případě vlastní prádelny se použije směrné číslo pro prádelny.</w:t>
            </w:r>
          </w:p>
        </w:tc>
      </w:tr>
      <w:tr w:rsidR="009A5B39" w:rsidRPr="009A5B39" w:rsidTr="009A5B39">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internáty, učňovské domovy, studentské koleje, ubytovny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většina pokojů má WC a koupelnu s tekoucí teplou vodou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25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 budovách, kde jsou koupelny (sprchy), WC na chodbě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15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stravování podle položek č. 18, 19 a 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r w:rsidR="009A5B39" w:rsidRPr="009A5B39" w:rsidTr="009A5B39">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roofErr w:type="gramStart"/>
            <w:r w:rsidRPr="009A5B39">
              <w:rPr>
                <w:rFonts w:ascii="Arial" w:eastAsia="Times New Roman" w:hAnsi="Arial" w:cs="Arial"/>
                <w:sz w:val="20"/>
                <w:szCs w:val="20"/>
                <w:lang w:eastAsia="cs-CZ"/>
              </w:rPr>
              <w:t>stravování - kuchyně</w:t>
            </w:r>
            <w:proofErr w:type="gramEnd"/>
            <w:r w:rsidRPr="009A5B39">
              <w:rPr>
                <w:rFonts w:ascii="Arial" w:eastAsia="Times New Roman" w:hAnsi="Arial" w:cs="Arial"/>
                <w:sz w:val="20"/>
                <w:szCs w:val="20"/>
                <w:lang w:eastAsia="cs-CZ"/>
              </w:rPr>
              <w:t>, jídelna (bezobslužné)</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1 strávníka a 1 pracovníka na jednu směnu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dovoz jídla, mytí nádobí, vybavení WC, umyvadla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3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19.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vaření jídla, mytí nádobí, vybavení WC, umyvadla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8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bufet, občerstvení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IV. ZDRAVOTNICKÁ A SOCIÁLNÍ ZAŘÍZENÍ</w:t>
      </w:r>
    </w:p>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Vybavení: WC, umyvadla a tekoucí teplá voda</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6033"/>
        <w:gridCol w:w="795"/>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1 pracovníka v denním průměru za rok</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zdravotnická střediska, ambulatoria, ordinace</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18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lékárny, hygienicko-epidemiologické stanice</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18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zubní střediska s celoročním provozem, ordinace</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ošetřovaná osoba</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1 vyšetřovanou osobu v denním průměru za rok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rehabilitace, rehabilitační bazén, sauna</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25.</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jednotlivá rehabilitační zařízení se určí potřeba množství podle příslušné </w:t>
            </w:r>
            <w:r w:rsidRPr="009A5B39">
              <w:rPr>
                <w:rFonts w:ascii="Arial" w:eastAsia="Times New Roman" w:hAnsi="Arial" w:cs="Arial"/>
                <w:sz w:val="20"/>
                <w:szCs w:val="20"/>
                <w:lang w:eastAsia="cs-CZ"/>
              </w:rPr>
              <w:br/>
              <w:t>normy pro provoz využívaného zařízení</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18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 lůžko za rok</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lastRenderedPageBreak/>
              <w:t>nemocnice</w:t>
            </w:r>
            <w:r w:rsidRPr="009A5B39">
              <w:rPr>
                <w:rFonts w:ascii="Arial" w:eastAsia="Times New Roman" w:hAnsi="Arial" w:cs="Arial"/>
                <w:sz w:val="20"/>
                <w:szCs w:val="20"/>
                <w:lang w:eastAsia="cs-CZ"/>
              </w:rPr>
              <w:br/>
              <w:t>(včetně stravování, kuchyně, bez léčebných zařízení)</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 lůžko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50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léčebny dlouhodobě nemocných, domovy důchodců</w:t>
            </w:r>
            <w:r w:rsidRPr="009A5B39">
              <w:rPr>
                <w:rFonts w:ascii="Arial" w:eastAsia="Times New Roman" w:hAnsi="Arial" w:cs="Arial"/>
                <w:sz w:val="20"/>
                <w:szCs w:val="20"/>
                <w:lang w:eastAsia="cs-CZ"/>
              </w:rPr>
              <w:br/>
              <w:t>(včetně stravování, kuchyně, bez léčebných zařízení)</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 lůžko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45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V.  KULTURNÍ A OSVĚTOVÉ PODNIKY, SPORTOVNÍ ZAŘÍZENÍ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7384"/>
        <w:gridCol w:w="1089"/>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multikina, samostatná kina a divadla s celoročním provozem</w:t>
            </w:r>
            <w:r w:rsidRPr="009A5B39">
              <w:rPr>
                <w:rFonts w:ascii="Arial" w:eastAsia="Times New Roman" w:hAnsi="Arial" w:cs="Arial"/>
                <w:sz w:val="20"/>
                <w:szCs w:val="20"/>
                <w:lang w:eastAsia="cs-CZ"/>
              </w:rPr>
              <w:br/>
              <w:t>(vybavení WC, umyvadla)</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při plné obsazenosti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29.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 sedadlo a jedno představení denně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přednáškové síně, knihovny, čítárny, studovny a muzea</w:t>
            </w:r>
            <w:r w:rsidRPr="009A5B39">
              <w:rPr>
                <w:rFonts w:ascii="Arial" w:eastAsia="Times New Roman" w:hAnsi="Arial" w:cs="Arial"/>
                <w:sz w:val="20"/>
                <w:szCs w:val="20"/>
                <w:lang w:eastAsia="cs-CZ"/>
              </w:rPr>
              <w:br/>
              <w:t>(vybavení WC, umyvadla)</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stálého pracovníka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14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návštěvníka v denním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návštěvníka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tělocvična, sportoviště, fitness centrum</w:t>
            </w:r>
            <w:r w:rsidRPr="009A5B39">
              <w:rPr>
                <w:rFonts w:ascii="Arial" w:eastAsia="Times New Roman" w:hAnsi="Arial" w:cs="Arial"/>
                <w:sz w:val="20"/>
                <w:szCs w:val="20"/>
                <w:lang w:eastAsia="cs-CZ"/>
              </w:rPr>
              <w:br/>
              <w:t>(vybavení WC, umyvadla, možnost sprchování s teplou vodou)</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návštěvníka v denním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návštěvníka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1 hřiště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kropení antukových hřišť krytých</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230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kropení antukových hřišť nekrytých</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460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100 m</w:t>
            </w:r>
            <w:r w:rsidRPr="009A5B39">
              <w:rPr>
                <w:rFonts w:ascii="Arial" w:eastAsia="Times New Roman" w:hAnsi="Arial" w:cs="Arial"/>
                <w:sz w:val="20"/>
                <w:szCs w:val="20"/>
                <w:vertAlign w:val="superscript"/>
                <w:lang w:eastAsia="cs-CZ"/>
              </w:rPr>
              <w:t>2</w:t>
            </w:r>
            <w:r w:rsidRPr="009A5B39">
              <w:rPr>
                <w:rFonts w:ascii="Arial" w:eastAsia="Times New Roman" w:hAnsi="Arial" w:cs="Arial"/>
                <w:sz w:val="20"/>
                <w:szCs w:val="20"/>
                <w:lang w:eastAsia="cs-CZ"/>
              </w:rPr>
              <w:t> za provozní den</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kropení travnatých hřišť</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 xml:space="preserve">golfové hřiště 18 ti jamkové se zavlažováním greenu, odpališť a </w:t>
            </w:r>
            <w:proofErr w:type="spellStart"/>
            <w:r w:rsidRPr="009A5B39">
              <w:rPr>
                <w:rFonts w:ascii="Arial" w:eastAsia="Times New Roman" w:hAnsi="Arial" w:cs="Arial"/>
                <w:sz w:val="20"/>
                <w:szCs w:val="20"/>
                <w:lang w:eastAsia="cs-CZ"/>
              </w:rPr>
              <w:t>ferveje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22500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 xml:space="preserve">na 1 </w:t>
            </w:r>
            <w:proofErr w:type="gramStart"/>
            <w:r w:rsidRPr="009A5B39">
              <w:rPr>
                <w:rFonts w:ascii="Arial" w:eastAsia="Times New Roman" w:hAnsi="Arial" w:cs="Arial"/>
                <w:sz w:val="20"/>
                <w:szCs w:val="20"/>
                <w:lang w:eastAsia="cs-CZ"/>
              </w:rPr>
              <w:t>návštěvníka - diváka</w:t>
            </w:r>
            <w:proofErr w:type="gramEnd"/>
            <w:r w:rsidRPr="009A5B39">
              <w:rPr>
                <w:rFonts w:ascii="Arial" w:eastAsia="Times New Roman" w:hAnsi="Arial" w:cs="Arial"/>
                <w:sz w:val="20"/>
                <w:szCs w:val="20"/>
                <w:lang w:eastAsia="cs-CZ"/>
              </w:rPr>
              <w:t xml:space="preserve"> v denním průměru (365 dnů)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Poznámka: v případě neprokázání počtu návštěvníků se jejich počet </w:t>
            </w:r>
            <w:r w:rsidRPr="009A5B39">
              <w:rPr>
                <w:rFonts w:ascii="Arial" w:eastAsia="Times New Roman" w:hAnsi="Arial" w:cs="Arial"/>
                <w:sz w:val="20"/>
                <w:szCs w:val="20"/>
                <w:lang w:eastAsia="cs-CZ"/>
              </w:rPr>
              <w:br/>
              <w:t xml:space="preserve">stanoví jako desetina kapacity zařízení pro </w:t>
            </w:r>
            <w:proofErr w:type="gramStart"/>
            <w:r w:rsidRPr="009A5B39">
              <w:rPr>
                <w:rFonts w:ascii="Arial" w:eastAsia="Times New Roman" w:hAnsi="Arial" w:cs="Arial"/>
                <w:sz w:val="20"/>
                <w:szCs w:val="20"/>
                <w:lang w:eastAsia="cs-CZ"/>
              </w:rPr>
              <w:t>návštěvníky - diváky</w:t>
            </w:r>
            <w:proofErr w:type="gramEnd"/>
            <w:r w:rsidRPr="009A5B39">
              <w:rPr>
                <w:rFonts w:ascii="Arial" w:eastAsia="Times New Roman" w:hAnsi="Arial" w:cs="Arial"/>
                <w:sz w:val="20"/>
                <w:szCs w:val="20"/>
                <w:lang w:eastAsia="cs-CZ"/>
              </w:rPr>
              <w:t>.</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zimní stadion</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38.</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pro jednotlivá zařízení se určí potřeba množství vody podle příslušné normy </w:t>
            </w:r>
            <w:r w:rsidRPr="009A5B39">
              <w:rPr>
                <w:rFonts w:ascii="Arial" w:eastAsia="Times New Roman" w:hAnsi="Arial" w:cs="Arial"/>
                <w:sz w:val="20"/>
                <w:szCs w:val="20"/>
                <w:lang w:eastAsia="cs-CZ"/>
              </w:rPr>
              <w:br/>
              <w:t>nebo technického návodu pro provoz (tvorba a úprava ledové plochy, relaxační zařízení apod.)</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VI. RESTAURACE, VINÁRNY</w:t>
      </w:r>
      <w:r w:rsidRPr="009A5B39">
        <w:rPr>
          <w:rFonts w:ascii="Arial" w:eastAsia="Times New Roman" w:hAnsi="Arial" w:cs="Arial"/>
          <w:color w:val="000000"/>
          <w:sz w:val="20"/>
          <w:szCs w:val="20"/>
          <w:lang w:eastAsia="cs-CZ"/>
        </w:rPr>
        <w:br/>
        <w:t>(vybavení WC, umyvadla, tekoucí teplá voda)</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5760"/>
        <w:gridCol w:w="719"/>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Restaurace, vinárny, kavárny</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 v jedné směně (365 dnů) za rok </w:t>
            </w:r>
            <w:r w:rsidRPr="009A5B39">
              <w:rPr>
                <w:rFonts w:ascii="Arial" w:eastAsia="Times New Roman" w:hAnsi="Arial" w:cs="Arial"/>
                <w:sz w:val="20"/>
                <w:szCs w:val="20"/>
                <w:lang w:eastAsia="cs-CZ"/>
              </w:rPr>
              <w:br/>
              <w:t>(zahrnuje i zákazníky bez mytí skla)</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39.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pouze výčep</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50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výčep, podávání studených jídel</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60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výčep, podávání studených jídel a teplých jídel</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80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Vybavení na mytí skla:</w:t>
            </w:r>
            <w:r w:rsidRPr="009A5B39">
              <w:rPr>
                <w:rFonts w:ascii="Arial" w:eastAsia="Times New Roman" w:hAnsi="Arial" w:cs="Arial"/>
                <w:sz w:val="20"/>
                <w:szCs w:val="20"/>
                <w:lang w:eastAsia="cs-CZ"/>
              </w:rPr>
              <w:br/>
              <w:t>(připočítává se k položkám č. 39, 40 a 41)</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výčepní stolice s trvalým průtokem 3 l/min. za jednu směnu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450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mytí skla bez trvalého průtoku nebo myčka skla za jednu směnu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60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VII. PROVOZOVNY</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6411"/>
        <w:gridCol w:w="616"/>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lastRenderedPageBreak/>
              <w:t>na jednoho pracovníka v jedné směně za rok</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provozovny místního významu, kde se vody neužívá k výrobě</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18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 s možností sprchování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26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 s možností sprchování </w:t>
            </w:r>
            <w:r w:rsidRPr="009A5B39">
              <w:rPr>
                <w:rFonts w:ascii="Arial" w:eastAsia="Times New Roman" w:hAnsi="Arial" w:cs="Arial"/>
                <w:sz w:val="20"/>
                <w:szCs w:val="20"/>
                <w:lang w:eastAsia="cs-CZ"/>
              </w:rPr>
              <w:br/>
              <w:t>v provozovnách s nečistým provozem nebo potřebou vyšší hygieny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30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holičství a kadeřnictví</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 v jedné směně v průměru za rok (zahrnuje i zákazníky)</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 pánské a dámské provozovně WC, umyvadla s tekoucí teplou vodou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50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samostatné prádelny (zakázkové)</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1 q vypraného prádla (tzv. technická voda)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49.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jednoho zaměstnance v jedné směně podle položek č. 44, 45 a 46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VIII. PRODEJNY</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7695"/>
        <w:gridCol w:w="700"/>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prodejny s čistým provozem, včetně obchodních domů, supermarketů</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 v jedné směně v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18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prodejna ryb, drůbeže a zvěřiny</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 v jedné směně v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20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na 100 kg prodaných živých ryb (připočítává se k položce č. 51)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34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100 kg živých ryb</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prodej ryb v sádce na volném prostranství na 100 kg prodaných živých ryb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6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potravinářské výrobny místního významu</w:t>
            </w:r>
            <w:r w:rsidRPr="009A5B39">
              <w:rPr>
                <w:rFonts w:ascii="Arial" w:eastAsia="Times New Roman" w:hAnsi="Arial" w:cs="Arial"/>
                <w:sz w:val="20"/>
                <w:szCs w:val="20"/>
                <w:lang w:eastAsia="cs-CZ"/>
              </w:rPr>
              <w:br/>
              <w:t>(např. řeznictví, výroba uzenin, salátů, pečiva apod. (WC, umyvadla)</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jednoho pracovníka v jedné směně v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WC, umyvadla a tekoucí teplá voda s možností sprchování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26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Poznámka: spotřeba vody k výrobě se vypočte podle technologie výroby a vybavení prodejny.</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IX. HOSPODÁŘSKÁ ZVÍŘATA A DRŮBEŽ</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3871"/>
        <w:gridCol w:w="607"/>
      </w:tblGrid>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hospodářská zvířata</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jeden kus v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dojnice včetně ošetřování mléka a oplachů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36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býk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18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tele, ovce, koza, vepř</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6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prasnice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8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59.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kůň</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14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roofErr w:type="gramStart"/>
            <w:r w:rsidRPr="009A5B39">
              <w:rPr>
                <w:rFonts w:ascii="Arial" w:eastAsia="Times New Roman" w:hAnsi="Arial" w:cs="Arial"/>
                <w:sz w:val="20"/>
                <w:szCs w:val="20"/>
                <w:lang w:eastAsia="cs-CZ"/>
              </w:rPr>
              <w:t>pes - chovná</w:t>
            </w:r>
            <w:proofErr w:type="gramEnd"/>
            <w:r w:rsidRPr="009A5B39">
              <w:rPr>
                <w:rFonts w:ascii="Arial" w:eastAsia="Times New Roman" w:hAnsi="Arial" w:cs="Arial"/>
                <w:sz w:val="20"/>
                <w:szCs w:val="20"/>
                <w:lang w:eastAsia="cs-CZ"/>
              </w:rPr>
              <w:t xml:space="preserve"> stanice (pouze nad 2 kusy)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drůbež</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Times New Roman" w:eastAsia="Times New Roman" w:hAnsi="Times New Roman" w:cs="Times New Roman"/>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na 100 kusů v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61.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slepice, perličky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11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62.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husy, kachny, krůty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36 m</w:t>
            </w:r>
            <w:r w:rsidRPr="009A5B39">
              <w:rPr>
                <w:rFonts w:ascii="Arial" w:eastAsia="Times New Roman" w:hAnsi="Arial" w:cs="Arial"/>
                <w:sz w:val="20"/>
                <w:szCs w:val="20"/>
                <w:vertAlign w:val="superscript"/>
                <w:lang w:eastAsia="cs-CZ"/>
              </w:rPr>
              <w:t>3</w:t>
            </w: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X. ZAHRADY</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69"/>
        <w:gridCol w:w="8100"/>
        <w:gridCol w:w="587"/>
      </w:tblGrid>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color w:val="000000"/>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v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63.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venkovní zahrady okrasné (trávníky, květiny) nebo osázené zeleninou na 100 m</w:t>
            </w:r>
            <w:r w:rsidRPr="009A5B39">
              <w:rPr>
                <w:rFonts w:ascii="Arial" w:eastAsia="Times New Roman" w:hAnsi="Arial" w:cs="Arial"/>
                <w:sz w:val="20"/>
                <w:szCs w:val="20"/>
                <w:vertAlign w:val="superscript"/>
                <w:lang w:eastAsia="cs-CZ"/>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16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Poznámka: neplatí pro výpočet snížení stočného podle § 19 odst. 9 zákona.</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64.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sady osázené ovocnými stromy nebo jinak využívané na 100 m</w:t>
            </w:r>
            <w:r w:rsidRPr="009A5B39">
              <w:rPr>
                <w:rFonts w:ascii="Arial" w:eastAsia="Times New Roman" w:hAnsi="Arial" w:cs="Arial"/>
                <w:sz w:val="20"/>
                <w:szCs w:val="20"/>
                <w:vertAlign w:val="superscript"/>
                <w:lang w:eastAsia="cs-CZ"/>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3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lastRenderedPageBreak/>
              <w:t>65.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pro automatizované zalévání zahrad s pěstováním květin, zeleniny podle čidel na určení vlhkosti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12 m</w:t>
            </w:r>
            <w:r w:rsidRPr="009A5B39">
              <w:rPr>
                <w:rFonts w:ascii="Arial" w:eastAsia="Times New Roman" w:hAnsi="Arial" w:cs="Arial"/>
                <w:sz w:val="20"/>
                <w:szCs w:val="20"/>
                <w:vertAlign w:val="superscript"/>
                <w:lang w:eastAsia="cs-CZ"/>
              </w:rPr>
              <w:t>3</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66.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 xml:space="preserve">průmyslové a skleníkové pěstování zeleniny, </w:t>
            </w:r>
            <w:proofErr w:type="gramStart"/>
            <w:r w:rsidRPr="009A5B39">
              <w:rPr>
                <w:rFonts w:ascii="Arial" w:eastAsia="Times New Roman" w:hAnsi="Arial" w:cs="Arial"/>
                <w:sz w:val="20"/>
                <w:szCs w:val="20"/>
                <w:lang w:eastAsia="cs-CZ"/>
              </w:rPr>
              <w:t>květin - pro</w:t>
            </w:r>
            <w:proofErr w:type="gramEnd"/>
            <w:r w:rsidRPr="009A5B39">
              <w:rPr>
                <w:rFonts w:ascii="Arial" w:eastAsia="Times New Roman" w:hAnsi="Arial" w:cs="Arial"/>
                <w:sz w:val="20"/>
                <w:szCs w:val="20"/>
                <w:lang w:eastAsia="cs-CZ"/>
              </w:rPr>
              <w:t xml:space="preserve"> jednotlivá </w:t>
            </w:r>
            <w:r w:rsidRPr="009A5B39">
              <w:rPr>
                <w:rFonts w:ascii="Arial" w:eastAsia="Times New Roman" w:hAnsi="Arial" w:cs="Arial"/>
                <w:sz w:val="20"/>
                <w:szCs w:val="20"/>
                <w:lang w:eastAsia="cs-CZ"/>
              </w:rPr>
              <w:br/>
              <w:t>zařízení (automatizované kropení) se určí potřeba množství podle </w:t>
            </w:r>
            <w:r w:rsidRPr="009A5B39">
              <w:rPr>
                <w:rFonts w:ascii="Arial" w:eastAsia="Times New Roman" w:hAnsi="Arial" w:cs="Arial"/>
                <w:sz w:val="20"/>
                <w:szCs w:val="20"/>
                <w:lang w:eastAsia="cs-CZ"/>
              </w:rPr>
              <w:br/>
              <w:t>příslušného technického návodu pro provoz využívaného objektu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p>
        </w:tc>
      </w:tr>
    </w:tbl>
    <w:p w:rsidR="009A5B39" w:rsidRPr="009A5B39" w:rsidRDefault="009A5B39" w:rsidP="009A5B39">
      <w:pPr>
        <w:shd w:val="clear" w:color="auto" w:fill="FFFFFF"/>
        <w:spacing w:after="0" w:line="240" w:lineRule="auto"/>
        <w:jc w:val="both"/>
        <w:rPr>
          <w:rFonts w:ascii="Arial" w:eastAsia="Times New Roman" w:hAnsi="Arial" w:cs="Arial"/>
          <w:color w:val="000000"/>
          <w:sz w:val="20"/>
          <w:szCs w:val="20"/>
          <w:lang w:eastAsia="cs-CZ"/>
        </w:rPr>
      </w:pPr>
      <w:r w:rsidRPr="009A5B39">
        <w:rPr>
          <w:rFonts w:ascii="Arial" w:eastAsia="Times New Roman" w:hAnsi="Arial" w:cs="Arial"/>
          <w:color w:val="000000"/>
          <w:sz w:val="20"/>
          <w:szCs w:val="20"/>
          <w:lang w:eastAsia="cs-CZ"/>
        </w:rPr>
        <w:t>XI. MYTÍ AUTOMOBILŮ</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01"/>
        <w:gridCol w:w="6423"/>
        <w:gridCol w:w="538"/>
      </w:tblGrid>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color w:val="000000"/>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v průměru za rok</w:t>
            </w:r>
          </w:p>
        </w:tc>
      </w:tr>
      <w:tr w:rsidR="009A5B39" w:rsidRPr="009A5B39" w:rsidTr="009A5B39">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67.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osobní automobil užívaný pro domácnost (stříkání a umývání)</w:t>
            </w:r>
            <w:r w:rsidRPr="009A5B39">
              <w:rPr>
                <w:rFonts w:ascii="Arial" w:eastAsia="Times New Roman" w:hAnsi="Arial" w:cs="Arial"/>
                <w:sz w:val="20"/>
                <w:szCs w:val="20"/>
                <w:lang w:eastAsia="cs-CZ"/>
              </w:rPr>
              <w:br/>
              <w:t xml:space="preserve">- předpokládá se mytí 10 x </w:t>
            </w:r>
            <w:proofErr w:type="gramStart"/>
            <w:r w:rsidRPr="009A5B39">
              <w:rPr>
                <w:rFonts w:ascii="Arial" w:eastAsia="Times New Roman" w:hAnsi="Arial" w:cs="Arial"/>
                <w:sz w:val="20"/>
                <w:szCs w:val="20"/>
                <w:lang w:eastAsia="cs-CZ"/>
              </w:rPr>
              <w:t>ročně- předpokládá</w:t>
            </w:r>
            <w:proofErr w:type="gramEnd"/>
            <w:r w:rsidRPr="009A5B39">
              <w:rPr>
                <w:rFonts w:ascii="Arial" w:eastAsia="Times New Roman" w:hAnsi="Arial" w:cs="Arial"/>
                <w:sz w:val="20"/>
                <w:szCs w:val="20"/>
                <w:lang w:eastAsia="cs-CZ"/>
              </w:rPr>
              <w:t xml:space="preserve"> se mytí 10 x ročně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jc w:val="right"/>
              <w:rPr>
                <w:rFonts w:ascii="Arial" w:eastAsia="Times New Roman" w:hAnsi="Arial" w:cs="Arial"/>
                <w:sz w:val="20"/>
                <w:szCs w:val="20"/>
                <w:lang w:eastAsia="cs-CZ"/>
              </w:rPr>
            </w:pPr>
            <w:r w:rsidRPr="009A5B39">
              <w:rPr>
                <w:rFonts w:ascii="Arial" w:eastAsia="Times New Roman" w:hAnsi="Arial" w:cs="Arial"/>
                <w:sz w:val="20"/>
                <w:szCs w:val="20"/>
                <w:lang w:eastAsia="cs-CZ"/>
              </w:rPr>
              <w:t>1 m</w:t>
            </w:r>
            <w:r w:rsidRPr="009A5B39">
              <w:rPr>
                <w:rFonts w:ascii="Arial" w:eastAsia="Times New Roman" w:hAnsi="Arial" w:cs="Arial"/>
                <w:sz w:val="20"/>
                <w:szCs w:val="20"/>
                <w:vertAlign w:val="superscript"/>
                <w:lang w:eastAsia="cs-CZ"/>
              </w:rPr>
              <w:t>3</w:t>
            </w:r>
          </w:p>
        </w:tc>
      </w:tr>
      <w:tr w:rsidR="009A5B39" w:rsidRPr="009A5B39" w:rsidTr="009A5B39">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9A5B39" w:rsidRPr="009A5B39" w:rsidRDefault="009A5B39" w:rsidP="009A5B39">
            <w:pPr>
              <w:spacing w:after="0" w:line="240" w:lineRule="auto"/>
              <w:rPr>
                <w:rFonts w:ascii="Arial" w:eastAsia="Times New Roman" w:hAnsi="Arial" w:cs="Arial"/>
                <w:sz w:val="20"/>
                <w:szCs w:val="20"/>
                <w:lang w:eastAsia="cs-CZ"/>
              </w:rPr>
            </w:pPr>
            <w:r w:rsidRPr="009A5B39">
              <w:rPr>
                <w:rFonts w:ascii="Arial" w:eastAsia="Times New Roman" w:hAnsi="Arial" w:cs="Arial"/>
                <w:sz w:val="20"/>
                <w:szCs w:val="20"/>
                <w:lang w:eastAsia="cs-CZ"/>
              </w:rPr>
              <w:t>Poznámka: v odůvodněných případech může vlastník vodovodu nebo kanalizace, </w:t>
            </w:r>
            <w:r w:rsidRPr="009A5B39">
              <w:rPr>
                <w:rFonts w:ascii="Arial" w:eastAsia="Times New Roman" w:hAnsi="Arial" w:cs="Arial"/>
                <w:sz w:val="20"/>
                <w:szCs w:val="20"/>
                <w:lang w:eastAsia="cs-CZ"/>
              </w:rPr>
              <w:br/>
              <w:t>popřípadě jejich provozovatel, pokud je k tomu vlastníkem zmocněn, </w:t>
            </w:r>
            <w:r w:rsidRPr="009A5B39">
              <w:rPr>
                <w:rFonts w:ascii="Arial" w:eastAsia="Times New Roman" w:hAnsi="Arial" w:cs="Arial"/>
                <w:sz w:val="20"/>
                <w:szCs w:val="20"/>
                <w:lang w:eastAsia="cs-CZ"/>
              </w:rPr>
              <w:br/>
              <w:t>výše uvedená směrná čísla roční potřeby v částech I. až XI. snížit.</w:t>
            </w:r>
          </w:p>
        </w:tc>
      </w:tr>
    </w:tbl>
    <w:p w:rsidR="009A5B39" w:rsidRPr="009A5B39" w:rsidRDefault="009A5B39" w:rsidP="009A5B39">
      <w:pPr>
        <w:shd w:val="clear" w:color="auto" w:fill="FFFFFF"/>
        <w:spacing w:after="0" w:line="240" w:lineRule="auto"/>
        <w:rPr>
          <w:rFonts w:ascii="Arial" w:eastAsia="Times New Roman" w:hAnsi="Arial" w:cs="Arial"/>
          <w:color w:val="000000"/>
          <w:sz w:val="20"/>
          <w:szCs w:val="20"/>
          <w:lang w:eastAsia="cs-CZ"/>
        </w:rPr>
      </w:pPr>
    </w:p>
    <w:sectPr w:rsidR="009A5B39" w:rsidRPr="009A5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39"/>
    <w:rsid w:val="00607675"/>
    <w:rsid w:val="009A5B39"/>
    <w:rsid w:val="00A709F7"/>
    <w:rsid w:val="00B93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51AB"/>
  <w15:chartTrackingRefBased/>
  <w15:docId w15:val="{2C03159F-468F-44D6-8C42-4AF1CC76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q3">
    <w:name w:val="q3"/>
    <w:basedOn w:val="Normln"/>
    <w:rsid w:val="009A5B3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9936">
      <w:bodyDiv w:val="1"/>
      <w:marLeft w:val="0"/>
      <w:marRight w:val="0"/>
      <w:marTop w:val="0"/>
      <w:marBottom w:val="0"/>
      <w:divBdr>
        <w:top w:val="none" w:sz="0" w:space="0" w:color="auto"/>
        <w:left w:val="none" w:sz="0" w:space="0" w:color="auto"/>
        <w:bottom w:val="none" w:sz="0" w:space="0" w:color="auto"/>
        <w:right w:val="none" w:sz="0" w:space="0" w:color="auto"/>
      </w:divBdr>
      <w:divsChild>
        <w:div w:id="899094417">
          <w:marLeft w:val="0"/>
          <w:marRight w:val="0"/>
          <w:marTop w:val="0"/>
          <w:marBottom w:val="0"/>
          <w:divBdr>
            <w:top w:val="none" w:sz="0" w:space="0" w:color="auto"/>
            <w:left w:val="none" w:sz="0" w:space="0" w:color="auto"/>
            <w:bottom w:val="none" w:sz="0" w:space="0" w:color="auto"/>
            <w:right w:val="none" w:sz="0" w:space="0" w:color="auto"/>
          </w:divBdr>
          <w:divsChild>
            <w:div w:id="1689991217">
              <w:marLeft w:val="0"/>
              <w:marRight w:val="0"/>
              <w:marTop w:val="0"/>
              <w:marBottom w:val="0"/>
              <w:divBdr>
                <w:top w:val="none" w:sz="0" w:space="0" w:color="auto"/>
                <w:left w:val="none" w:sz="0" w:space="0" w:color="auto"/>
                <w:bottom w:val="none" w:sz="0" w:space="0" w:color="auto"/>
                <w:right w:val="none" w:sz="0" w:space="0" w:color="auto"/>
              </w:divBdr>
            </w:div>
          </w:divsChild>
        </w:div>
        <w:div w:id="2044163528">
          <w:marLeft w:val="0"/>
          <w:marRight w:val="0"/>
          <w:marTop w:val="0"/>
          <w:marBottom w:val="0"/>
          <w:divBdr>
            <w:top w:val="none" w:sz="0" w:space="0" w:color="auto"/>
            <w:left w:val="none" w:sz="0" w:space="0" w:color="auto"/>
            <w:bottom w:val="none" w:sz="0" w:space="0" w:color="auto"/>
            <w:right w:val="none" w:sz="0" w:space="0" w:color="auto"/>
          </w:divBdr>
          <w:divsChild>
            <w:div w:id="1415131953">
              <w:marLeft w:val="0"/>
              <w:marRight w:val="0"/>
              <w:marTop w:val="0"/>
              <w:marBottom w:val="0"/>
              <w:divBdr>
                <w:top w:val="none" w:sz="0" w:space="0" w:color="auto"/>
                <w:left w:val="none" w:sz="0" w:space="0" w:color="auto"/>
                <w:bottom w:val="none" w:sz="0" w:space="0" w:color="auto"/>
                <w:right w:val="none" w:sz="0" w:space="0" w:color="auto"/>
              </w:divBdr>
            </w:div>
          </w:divsChild>
        </w:div>
        <w:div w:id="661812914">
          <w:marLeft w:val="0"/>
          <w:marRight w:val="0"/>
          <w:marTop w:val="0"/>
          <w:marBottom w:val="0"/>
          <w:divBdr>
            <w:top w:val="none" w:sz="0" w:space="0" w:color="auto"/>
            <w:left w:val="none" w:sz="0" w:space="0" w:color="auto"/>
            <w:bottom w:val="none" w:sz="0" w:space="0" w:color="auto"/>
            <w:right w:val="none" w:sz="0" w:space="0" w:color="auto"/>
          </w:divBdr>
          <w:divsChild>
            <w:div w:id="848179698">
              <w:marLeft w:val="0"/>
              <w:marRight w:val="0"/>
              <w:marTop w:val="0"/>
              <w:marBottom w:val="0"/>
              <w:divBdr>
                <w:top w:val="none" w:sz="0" w:space="0" w:color="auto"/>
                <w:left w:val="none" w:sz="0" w:space="0" w:color="auto"/>
                <w:bottom w:val="none" w:sz="0" w:space="0" w:color="auto"/>
                <w:right w:val="none" w:sz="0" w:space="0" w:color="auto"/>
              </w:divBdr>
            </w:div>
          </w:divsChild>
        </w:div>
        <w:div w:id="1768843007">
          <w:marLeft w:val="0"/>
          <w:marRight w:val="0"/>
          <w:marTop w:val="0"/>
          <w:marBottom w:val="0"/>
          <w:divBdr>
            <w:top w:val="none" w:sz="0" w:space="0" w:color="auto"/>
            <w:left w:val="none" w:sz="0" w:space="0" w:color="auto"/>
            <w:bottom w:val="none" w:sz="0" w:space="0" w:color="auto"/>
            <w:right w:val="none" w:sz="0" w:space="0" w:color="auto"/>
          </w:divBdr>
          <w:divsChild>
            <w:div w:id="784468829">
              <w:marLeft w:val="0"/>
              <w:marRight w:val="0"/>
              <w:marTop w:val="0"/>
              <w:marBottom w:val="0"/>
              <w:divBdr>
                <w:top w:val="none" w:sz="0" w:space="0" w:color="auto"/>
                <w:left w:val="none" w:sz="0" w:space="0" w:color="auto"/>
                <w:bottom w:val="none" w:sz="0" w:space="0" w:color="auto"/>
                <w:right w:val="none" w:sz="0" w:space="0" w:color="auto"/>
              </w:divBdr>
            </w:div>
          </w:divsChild>
        </w:div>
        <w:div w:id="900872154">
          <w:marLeft w:val="0"/>
          <w:marRight w:val="0"/>
          <w:marTop w:val="0"/>
          <w:marBottom w:val="0"/>
          <w:divBdr>
            <w:top w:val="none" w:sz="0" w:space="0" w:color="auto"/>
            <w:left w:val="none" w:sz="0" w:space="0" w:color="auto"/>
            <w:bottom w:val="none" w:sz="0" w:space="0" w:color="auto"/>
            <w:right w:val="none" w:sz="0" w:space="0" w:color="auto"/>
          </w:divBdr>
          <w:divsChild>
            <w:div w:id="3688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864">
      <w:bodyDiv w:val="1"/>
      <w:marLeft w:val="0"/>
      <w:marRight w:val="0"/>
      <w:marTop w:val="0"/>
      <w:marBottom w:val="0"/>
      <w:divBdr>
        <w:top w:val="none" w:sz="0" w:space="0" w:color="auto"/>
        <w:left w:val="none" w:sz="0" w:space="0" w:color="auto"/>
        <w:bottom w:val="none" w:sz="0" w:space="0" w:color="auto"/>
        <w:right w:val="none" w:sz="0" w:space="0" w:color="auto"/>
      </w:divBdr>
      <w:divsChild>
        <w:div w:id="1514950012">
          <w:marLeft w:val="0"/>
          <w:marRight w:val="0"/>
          <w:marTop w:val="0"/>
          <w:marBottom w:val="0"/>
          <w:divBdr>
            <w:top w:val="none" w:sz="0" w:space="0" w:color="auto"/>
            <w:left w:val="none" w:sz="0" w:space="0" w:color="auto"/>
            <w:bottom w:val="none" w:sz="0" w:space="0" w:color="auto"/>
            <w:right w:val="none" w:sz="0" w:space="0" w:color="auto"/>
          </w:divBdr>
          <w:divsChild>
            <w:div w:id="740562778">
              <w:marLeft w:val="0"/>
              <w:marRight w:val="0"/>
              <w:marTop w:val="0"/>
              <w:marBottom w:val="0"/>
              <w:divBdr>
                <w:top w:val="none" w:sz="0" w:space="0" w:color="auto"/>
                <w:left w:val="none" w:sz="0" w:space="0" w:color="auto"/>
                <w:bottom w:val="none" w:sz="0" w:space="0" w:color="auto"/>
                <w:right w:val="none" w:sz="0" w:space="0" w:color="auto"/>
              </w:divBdr>
            </w:div>
          </w:divsChild>
        </w:div>
        <w:div w:id="658851873">
          <w:marLeft w:val="0"/>
          <w:marRight w:val="0"/>
          <w:marTop w:val="0"/>
          <w:marBottom w:val="0"/>
          <w:divBdr>
            <w:top w:val="none" w:sz="0" w:space="0" w:color="auto"/>
            <w:left w:val="none" w:sz="0" w:space="0" w:color="auto"/>
            <w:bottom w:val="none" w:sz="0" w:space="0" w:color="auto"/>
            <w:right w:val="none" w:sz="0" w:space="0" w:color="auto"/>
          </w:divBdr>
          <w:divsChild>
            <w:div w:id="167528047">
              <w:marLeft w:val="0"/>
              <w:marRight w:val="0"/>
              <w:marTop w:val="0"/>
              <w:marBottom w:val="0"/>
              <w:divBdr>
                <w:top w:val="none" w:sz="0" w:space="0" w:color="auto"/>
                <w:left w:val="none" w:sz="0" w:space="0" w:color="auto"/>
                <w:bottom w:val="none" w:sz="0" w:space="0" w:color="auto"/>
                <w:right w:val="none" w:sz="0" w:space="0" w:color="auto"/>
              </w:divBdr>
            </w:div>
          </w:divsChild>
        </w:div>
        <w:div w:id="825054439">
          <w:marLeft w:val="0"/>
          <w:marRight w:val="0"/>
          <w:marTop w:val="0"/>
          <w:marBottom w:val="0"/>
          <w:divBdr>
            <w:top w:val="none" w:sz="0" w:space="0" w:color="auto"/>
            <w:left w:val="none" w:sz="0" w:space="0" w:color="auto"/>
            <w:bottom w:val="none" w:sz="0" w:space="0" w:color="auto"/>
            <w:right w:val="none" w:sz="0" w:space="0" w:color="auto"/>
          </w:divBdr>
          <w:divsChild>
            <w:div w:id="1835074665">
              <w:marLeft w:val="0"/>
              <w:marRight w:val="0"/>
              <w:marTop w:val="0"/>
              <w:marBottom w:val="0"/>
              <w:divBdr>
                <w:top w:val="none" w:sz="0" w:space="0" w:color="auto"/>
                <w:left w:val="none" w:sz="0" w:space="0" w:color="auto"/>
                <w:bottom w:val="none" w:sz="0" w:space="0" w:color="auto"/>
                <w:right w:val="none" w:sz="0" w:space="0" w:color="auto"/>
              </w:divBdr>
            </w:div>
          </w:divsChild>
        </w:div>
        <w:div w:id="1876000217">
          <w:marLeft w:val="0"/>
          <w:marRight w:val="0"/>
          <w:marTop w:val="0"/>
          <w:marBottom w:val="0"/>
          <w:divBdr>
            <w:top w:val="none" w:sz="0" w:space="0" w:color="auto"/>
            <w:left w:val="none" w:sz="0" w:space="0" w:color="auto"/>
            <w:bottom w:val="none" w:sz="0" w:space="0" w:color="auto"/>
            <w:right w:val="none" w:sz="0" w:space="0" w:color="auto"/>
          </w:divBdr>
          <w:divsChild>
            <w:div w:id="514534893">
              <w:marLeft w:val="0"/>
              <w:marRight w:val="0"/>
              <w:marTop w:val="0"/>
              <w:marBottom w:val="0"/>
              <w:divBdr>
                <w:top w:val="none" w:sz="0" w:space="0" w:color="auto"/>
                <w:left w:val="none" w:sz="0" w:space="0" w:color="auto"/>
                <w:bottom w:val="none" w:sz="0" w:space="0" w:color="auto"/>
                <w:right w:val="none" w:sz="0" w:space="0" w:color="auto"/>
              </w:divBdr>
            </w:div>
          </w:divsChild>
        </w:div>
        <w:div w:id="987589119">
          <w:marLeft w:val="0"/>
          <w:marRight w:val="0"/>
          <w:marTop w:val="0"/>
          <w:marBottom w:val="0"/>
          <w:divBdr>
            <w:top w:val="none" w:sz="0" w:space="0" w:color="auto"/>
            <w:left w:val="none" w:sz="0" w:space="0" w:color="auto"/>
            <w:bottom w:val="none" w:sz="0" w:space="0" w:color="auto"/>
            <w:right w:val="none" w:sz="0" w:space="0" w:color="auto"/>
          </w:divBdr>
          <w:divsChild>
            <w:div w:id="2009558759">
              <w:marLeft w:val="0"/>
              <w:marRight w:val="0"/>
              <w:marTop w:val="0"/>
              <w:marBottom w:val="0"/>
              <w:divBdr>
                <w:top w:val="none" w:sz="0" w:space="0" w:color="auto"/>
                <w:left w:val="none" w:sz="0" w:space="0" w:color="auto"/>
                <w:bottom w:val="none" w:sz="0" w:space="0" w:color="auto"/>
                <w:right w:val="none" w:sz="0" w:space="0" w:color="auto"/>
              </w:divBdr>
            </w:div>
          </w:divsChild>
        </w:div>
        <w:div w:id="1913391926">
          <w:marLeft w:val="0"/>
          <w:marRight w:val="0"/>
          <w:marTop w:val="0"/>
          <w:marBottom w:val="0"/>
          <w:divBdr>
            <w:top w:val="none" w:sz="0" w:space="0" w:color="auto"/>
            <w:left w:val="none" w:sz="0" w:space="0" w:color="auto"/>
            <w:bottom w:val="none" w:sz="0" w:space="0" w:color="auto"/>
            <w:right w:val="none" w:sz="0" w:space="0" w:color="auto"/>
          </w:divBdr>
          <w:divsChild>
            <w:div w:id="345403479">
              <w:marLeft w:val="0"/>
              <w:marRight w:val="0"/>
              <w:marTop w:val="0"/>
              <w:marBottom w:val="0"/>
              <w:divBdr>
                <w:top w:val="none" w:sz="0" w:space="0" w:color="auto"/>
                <w:left w:val="none" w:sz="0" w:space="0" w:color="auto"/>
                <w:bottom w:val="none" w:sz="0" w:space="0" w:color="auto"/>
                <w:right w:val="none" w:sz="0" w:space="0" w:color="auto"/>
              </w:divBdr>
            </w:div>
          </w:divsChild>
        </w:div>
        <w:div w:id="916935242">
          <w:marLeft w:val="0"/>
          <w:marRight w:val="0"/>
          <w:marTop w:val="0"/>
          <w:marBottom w:val="0"/>
          <w:divBdr>
            <w:top w:val="none" w:sz="0" w:space="0" w:color="auto"/>
            <w:left w:val="none" w:sz="0" w:space="0" w:color="auto"/>
            <w:bottom w:val="none" w:sz="0" w:space="0" w:color="auto"/>
            <w:right w:val="none" w:sz="0" w:space="0" w:color="auto"/>
          </w:divBdr>
          <w:divsChild>
            <w:div w:id="1405254559">
              <w:marLeft w:val="0"/>
              <w:marRight w:val="0"/>
              <w:marTop w:val="0"/>
              <w:marBottom w:val="0"/>
              <w:divBdr>
                <w:top w:val="none" w:sz="0" w:space="0" w:color="auto"/>
                <w:left w:val="none" w:sz="0" w:space="0" w:color="auto"/>
                <w:bottom w:val="none" w:sz="0" w:space="0" w:color="auto"/>
                <w:right w:val="none" w:sz="0" w:space="0" w:color="auto"/>
              </w:divBdr>
            </w:div>
          </w:divsChild>
        </w:div>
        <w:div w:id="31462438">
          <w:marLeft w:val="0"/>
          <w:marRight w:val="0"/>
          <w:marTop w:val="0"/>
          <w:marBottom w:val="0"/>
          <w:divBdr>
            <w:top w:val="none" w:sz="0" w:space="0" w:color="auto"/>
            <w:left w:val="none" w:sz="0" w:space="0" w:color="auto"/>
            <w:bottom w:val="none" w:sz="0" w:space="0" w:color="auto"/>
            <w:right w:val="none" w:sz="0" w:space="0" w:color="auto"/>
          </w:divBdr>
          <w:divsChild>
            <w:div w:id="7725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Brychová</dc:creator>
  <cp:keywords/>
  <dc:description/>
  <cp:lastModifiedBy>Vladimíra Brychová</cp:lastModifiedBy>
  <cp:revision>2</cp:revision>
  <dcterms:created xsi:type="dcterms:W3CDTF">2019-07-10T07:17:00Z</dcterms:created>
  <dcterms:modified xsi:type="dcterms:W3CDTF">2019-07-10T07:17:00Z</dcterms:modified>
</cp:coreProperties>
</file>